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1440"/>
        <w:tblW w:w="15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2" w:type="dxa"/>
          <w:left w:w="227" w:type="dxa"/>
          <w:right w:w="227" w:type="dxa"/>
        </w:tblCellMar>
        <w:tblLook w:val="01E0" w:firstRow="1" w:lastRow="1" w:firstColumn="1" w:lastColumn="1" w:noHBand="0" w:noVBand="0"/>
      </w:tblPr>
      <w:tblGrid>
        <w:gridCol w:w="1129"/>
        <w:gridCol w:w="1701"/>
        <w:gridCol w:w="5387"/>
        <w:gridCol w:w="3571"/>
        <w:gridCol w:w="3301"/>
      </w:tblGrid>
      <w:tr w:rsidR="00E9749D" w:rsidRPr="00E9749D" w14:paraId="5923F8DE" w14:textId="77777777" w:rsidTr="004A5E67">
        <w:trPr>
          <w:trHeight w:val="746"/>
        </w:trPr>
        <w:tc>
          <w:tcPr>
            <w:tcW w:w="15089" w:type="dxa"/>
            <w:gridSpan w:val="5"/>
            <w:shd w:val="clear" w:color="auto" w:fill="D9D9D9"/>
          </w:tcPr>
          <w:p w14:paraId="158B3421" w14:textId="77777777" w:rsidR="00C13D45" w:rsidRDefault="00E9749D" w:rsidP="00C13D45">
            <w:pPr>
              <w:widowControl w:val="0"/>
              <w:autoSpaceDE w:val="0"/>
              <w:autoSpaceDN w:val="0"/>
              <w:spacing w:before="5" w:after="0" w:line="240" w:lineRule="auto"/>
              <w:jc w:val="center"/>
              <w:rPr>
                <w:rFonts w:eastAsia="Times New Roman" w:cs="Times New Roman"/>
                <w:b/>
                <w:bCs/>
                <w:kern w:val="0"/>
                <w:szCs w:val="24"/>
                <w:lang w:val="sr-Cyrl-RS"/>
                <w14:ligatures w14:val="none"/>
              </w:rPr>
            </w:pPr>
            <w:r w:rsidRPr="00C13D45">
              <w:rPr>
                <w:rFonts w:eastAsia="Times New Roman" w:cs="Times New Roman"/>
                <w:b/>
                <w:bCs/>
                <w:kern w:val="0"/>
                <w:szCs w:val="24"/>
                <w:lang w:val="sr-Cyrl-RS"/>
                <w14:ligatures w14:val="none"/>
              </w:rPr>
              <w:t>ОДГОВОРИ НА</w:t>
            </w:r>
            <w:r w:rsidR="00961389" w:rsidRPr="00C13D45">
              <w:rPr>
                <w:rFonts w:eastAsia="Times New Roman" w:cs="Times New Roman"/>
                <w:b/>
                <w:bCs/>
                <w:kern w:val="0"/>
                <w:szCs w:val="24"/>
                <w:lang w:val="sr-Cyrl-RS"/>
                <w14:ligatures w14:val="none"/>
              </w:rPr>
              <w:t xml:space="preserve"> НАЧЕЛНЕ</w:t>
            </w:r>
            <w:r w:rsidRPr="00C13D45">
              <w:rPr>
                <w:rFonts w:eastAsia="Times New Roman" w:cs="Times New Roman"/>
                <w:b/>
                <w:bCs/>
                <w:kern w:val="0"/>
                <w:szCs w:val="24"/>
                <w:lang w:val="sr-Cyrl-RS"/>
                <w14:ligatures w14:val="none"/>
              </w:rPr>
              <w:t xml:space="preserve"> КОМЕНТАРЕ</w:t>
            </w:r>
            <w:r w:rsidR="00961389" w:rsidRPr="00C13D45">
              <w:rPr>
                <w:rFonts w:eastAsia="Times New Roman" w:cs="Times New Roman"/>
                <w:b/>
                <w:bCs/>
                <w:kern w:val="0"/>
                <w:szCs w:val="24"/>
                <w:lang w:val="sr-Cyrl-RS"/>
                <w14:ligatures w14:val="none"/>
              </w:rPr>
              <w:t xml:space="preserve"> СА</w:t>
            </w:r>
            <w:r w:rsidR="00C13D45" w:rsidRPr="00C13D45">
              <w:rPr>
                <w:rFonts w:eastAsia="Times New Roman" w:cs="Times New Roman"/>
                <w:b/>
                <w:bCs/>
                <w:kern w:val="0"/>
                <w:szCs w:val="24"/>
                <w:lang w:val="sr-Cyrl-RS"/>
                <w14:ligatures w14:val="none"/>
              </w:rPr>
              <w:t xml:space="preserve"> </w:t>
            </w:r>
            <w:r w:rsidRPr="00C13D45">
              <w:rPr>
                <w:rFonts w:eastAsia="Times New Roman" w:cs="Times New Roman"/>
                <w:b/>
                <w:bCs/>
                <w:kern w:val="0"/>
                <w:szCs w:val="24"/>
                <w:lang w:val="sr-Cyrl-RS"/>
                <w14:ligatures w14:val="none"/>
              </w:rPr>
              <w:t>ЈАВН</w:t>
            </w:r>
            <w:r w:rsidR="00C13D45" w:rsidRPr="00C13D45">
              <w:rPr>
                <w:rFonts w:eastAsia="Times New Roman" w:cs="Times New Roman"/>
                <w:b/>
                <w:bCs/>
                <w:kern w:val="0"/>
                <w:szCs w:val="24"/>
                <w:lang w:val="sr-Cyrl-RS"/>
                <w14:ligatures w14:val="none"/>
              </w:rPr>
              <w:t>Е</w:t>
            </w:r>
            <w:r w:rsidRPr="00C13D45">
              <w:rPr>
                <w:rFonts w:eastAsia="Times New Roman" w:cs="Times New Roman"/>
                <w:b/>
                <w:bCs/>
                <w:kern w:val="0"/>
                <w:szCs w:val="24"/>
                <w:lang w:val="sr-Cyrl-RS"/>
                <w14:ligatures w14:val="none"/>
              </w:rPr>
              <w:t xml:space="preserve"> РАСПРАВ</w:t>
            </w:r>
            <w:r w:rsidR="00C13D45" w:rsidRPr="00C13D45">
              <w:rPr>
                <w:rFonts w:eastAsia="Times New Roman" w:cs="Times New Roman"/>
                <w:b/>
                <w:bCs/>
                <w:kern w:val="0"/>
                <w:szCs w:val="24"/>
                <w:lang w:val="sr-Cyrl-RS"/>
                <w14:ligatures w14:val="none"/>
              </w:rPr>
              <w:t xml:space="preserve">Е О </w:t>
            </w:r>
          </w:p>
          <w:p w14:paraId="61F04215" w14:textId="6CE12D13" w:rsidR="00E9749D" w:rsidRPr="00C13D45" w:rsidRDefault="00E9749D" w:rsidP="00C13D45">
            <w:pPr>
              <w:widowControl w:val="0"/>
              <w:autoSpaceDE w:val="0"/>
              <w:autoSpaceDN w:val="0"/>
              <w:spacing w:before="5" w:after="0" w:line="240" w:lineRule="auto"/>
              <w:jc w:val="center"/>
              <w:rPr>
                <w:rFonts w:eastAsia="Times New Roman" w:cs="Times New Roman"/>
                <w:b/>
                <w:bCs/>
                <w:kern w:val="0"/>
                <w:szCs w:val="24"/>
                <w:lang w:val="sr-Cyrl-RS"/>
                <w14:ligatures w14:val="none"/>
              </w:rPr>
            </w:pPr>
            <w:r w:rsidRPr="00C13D45">
              <w:rPr>
                <w:rFonts w:eastAsia="Times New Roman" w:cs="Times New Roman"/>
                <w:b/>
                <w:bCs/>
                <w:kern w:val="0"/>
                <w:szCs w:val="24"/>
                <w:lang w:val="sr-Cyrl-RS"/>
                <w14:ligatures w14:val="none"/>
              </w:rPr>
              <w:t>НАЦРТ</w:t>
            </w:r>
            <w:r w:rsidR="00C13D45" w:rsidRPr="00C13D45">
              <w:rPr>
                <w:rFonts w:eastAsia="Times New Roman" w:cs="Times New Roman"/>
                <w:b/>
                <w:bCs/>
                <w:kern w:val="0"/>
                <w:szCs w:val="24"/>
                <w:lang w:val="sr-Cyrl-RS"/>
                <w14:ligatures w14:val="none"/>
              </w:rPr>
              <w:t xml:space="preserve">У </w:t>
            </w:r>
            <w:r w:rsidRPr="00C13D45">
              <w:rPr>
                <w:rFonts w:eastAsia="Times New Roman" w:cs="Times New Roman"/>
                <w:b/>
                <w:bCs/>
                <w:kern w:val="0"/>
                <w:szCs w:val="24"/>
                <w:lang w:val="sr-Cyrl-RS"/>
                <w14:ligatures w14:val="none"/>
              </w:rPr>
              <w:t>ЗАКОНА О</w:t>
            </w:r>
            <w:r w:rsidR="006C0F69" w:rsidRPr="00C13D45">
              <w:rPr>
                <w:b/>
                <w:bCs/>
              </w:rPr>
              <w:t xml:space="preserve"> </w:t>
            </w:r>
            <w:r w:rsidR="006C0F69" w:rsidRPr="00C13D45">
              <w:rPr>
                <w:rFonts w:eastAsia="Times New Roman" w:cs="Times New Roman"/>
                <w:b/>
                <w:bCs/>
                <w:kern w:val="0"/>
                <w:szCs w:val="24"/>
                <w:lang w:val="sr-Cyrl-RS"/>
                <w14:ligatures w14:val="none"/>
              </w:rPr>
              <w:t>О ИЗМЕНАМА И ДОПУНАМА ЗАКОНА О ЕЛЕКТРОНСКИМ КОМУНИКАЦИЈАМА</w:t>
            </w:r>
          </w:p>
        </w:tc>
      </w:tr>
      <w:tr w:rsidR="00E9749D" w:rsidRPr="00E9749D" w14:paraId="7DB9E3BA" w14:textId="77777777" w:rsidTr="002C1FE5">
        <w:trPr>
          <w:trHeight w:val="1004"/>
        </w:trPr>
        <w:tc>
          <w:tcPr>
            <w:tcW w:w="1129" w:type="dxa"/>
            <w:shd w:val="clear" w:color="auto" w:fill="D9D9D9"/>
            <w:vAlign w:val="center"/>
          </w:tcPr>
          <w:p w14:paraId="540F434D" w14:textId="77777777" w:rsidR="00E9749D" w:rsidRPr="002C1FE5" w:rsidRDefault="00E9749D" w:rsidP="00E9749D">
            <w:pPr>
              <w:widowControl w:val="0"/>
              <w:autoSpaceDE w:val="0"/>
              <w:autoSpaceDN w:val="0"/>
              <w:spacing w:before="5" w:after="0" w:line="240" w:lineRule="auto"/>
              <w:jc w:val="left"/>
              <w:rPr>
                <w:rFonts w:eastAsia="Times New Roman" w:cs="Times New Roman"/>
                <w:b/>
                <w:bCs/>
                <w:kern w:val="0"/>
                <w:sz w:val="18"/>
                <w:szCs w:val="18"/>
                <w:lang w:val="sr-Cyrl-RS"/>
                <w14:ligatures w14:val="none"/>
              </w:rPr>
            </w:pPr>
            <w:r w:rsidRPr="002C1FE5">
              <w:rPr>
                <w:rFonts w:eastAsia="Times New Roman" w:cs="Times New Roman"/>
                <w:b/>
                <w:bCs/>
                <w:kern w:val="0"/>
                <w:sz w:val="18"/>
                <w:szCs w:val="18"/>
                <w:lang w:val="sr-Cyrl-RS"/>
                <w14:ligatures w14:val="none"/>
              </w:rPr>
              <w:t>БРОЈ</w:t>
            </w:r>
          </w:p>
        </w:tc>
        <w:tc>
          <w:tcPr>
            <w:tcW w:w="1701" w:type="dxa"/>
            <w:shd w:val="clear" w:color="auto" w:fill="D9D9D9"/>
            <w:vAlign w:val="center"/>
          </w:tcPr>
          <w:p w14:paraId="6895B4F7" w14:textId="77777777" w:rsidR="00E9749D" w:rsidRPr="002C1FE5" w:rsidRDefault="00E9749D" w:rsidP="00E9749D">
            <w:pPr>
              <w:widowControl w:val="0"/>
              <w:autoSpaceDE w:val="0"/>
              <w:autoSpaceDN w:val="0"/>
              <w:spacing w:before="5" w:after="0" w:line="240" w:lineRule="auto"/>
              <w:jc w:val="left"/>
              <w:rPr>
                <w:rFonts w:eastAsia="Times New Roman" w:cs="Times New Roman"/>
                <w:b/>
                <w:kern w:val="0"/>
                <w:sz w:val="18"/>
                <w:szCs w:val="18"/>
                <w:lang w:val="sr-Cyrl-RS"/>
                <w14:ligatures w14:val="none"/>
              </w:rPr>
            </w:pPr>
            <w:r w:rsidRPr="002C1FE5">
              <w:rPr>
                <w:rFonts w:eastAsia="Times New Roman" w:cs="Times New Roman"/>
                <w:b/>
                <w:kern w:val="0"/>
                <w:sz w:val="18"/>
                <w:szCs w:val="18"/>
                <w:lang w:val="sr-Cyrl-RS"/>
                <w14:ligatures w14:val="none"/>
              </w:rPr>
              <w:t>ПРЕДЛАГАЧ</w:t>
            </w:r>
          </w:p>
        </w:tc>
        <w:tc>
          <w:tcPr>
            <w:tcW w:w="5387" w:type="dxa"/>
            <w:shd w:val="clear" w:color="auto" w:fill="D9D9D9"/>
            <w:vAlign w:val="center"/>
          </w:tcPr>
          <w:p w14:paraId="524C5952" w14:textId="3AD6BC71" w:rsidR="00E9749D" w:rsidRPr="002C1FE5" w:rsidRDefault="00E9749D" w:rsidP="00E9749D">
            <w:pPr>
              <w:widowControl w:val="0"/>
              <w:autoSpaceDE w:val="0"/>
              <w:autoSpaceDN w:val="0"/>
              <w:spacing w:before="5" w:after="0" w:line="240" w:lineRule="auto"/>
              <w:jc w:val="center"/>
              <w:rPr>
                <w:rFonts w:eastAsia="Times New Roman" w:cs="Times New Roman"/>
                <w:b/>
                <w:kern w:val="0"/>
                <w:sz w:val="18"/>
                <w:szCs w:val="18"/>
                <w:lang w:val="sr-Cyrl-RS"/>
                <w14:ligatures w14:val="none"/>
              </w:rPr>
            </w:pPr>
            <w:r w:rsidRPr="002C1FE5">
              <w:rPr>
                <w:rFonts w:eastAsia="Times New Roman" w:cs="Times New Roman"/>
                <w:b/>
                <w:kern w:val="0"/>
                <w:sz w:val="18"/>
                <w:szCs w:val="18"/>
                <w:lang w:val="sr-Cyrl-RS"/>
                <w14:ligatures w14:val="none"/>
              </w:rPr>
              <w:t>НАЧЕЛНЕ ПРИМЕДБЕ</w:t>
            </w:r>
          </w:p>
        </w:tc>
        <w:tc>
          <w:tcPr>
            <w:tcW w:w="3571" w:type="dxa"/>
            <w:shd w:val="clear" w:color="auto" w:fill="D9D9D9"/>
            <w:vAlign w:val="center"/>
          </w:tcPr>
          <w:p w14:paraId="560B86B7" w14:textId="77777777" w:rsidR="00E9749D" w:rsidRPr="002C1FE5" w:rsidRDefault="00E9749D" w:rsidP="00E9749D">
            <w:pPr>
              <w:widowControl w:val="0"/>
              <w:autoSpaceDE w:val="0"/>
              <w:autoSpaceDN w:val="0"/>
              <w:spacing w:before="5" w:after="0" w:line="240" w:lineRule="auto"/>
              <w:jc w:val="center"/>
              <w:rPr>
                <w:rFonts w:eastAsia="Times New Roman" w:cs="Times New Roman"/>
                <w:b/>
                <w:kern w:val="0"/>
                <w:sz w:val="18"/>
                <w:szCs w:val="18"/>
                <w:lang w:val="sr-Cyrl-RS"/>
                <w14:ligatures w14:val="none"/>
              </w:rPr>
            </w:pPr>
            <w:r w:rsidRPr="002C1FE5">
              <w:rPr>
                <w:rFonts w:eastAsia="Times New Roman" w:cs="Times New Roman"/>
                <w:b/>
                <w:kern w:val="0"/>
                <w:sz w:val="18"/>
                <w:szCs w:val="18"/>
                <w:lang w:val="sr-Cyrl-RS"/>
                <w14:ligatures w14:val="none"/>
              </w:rPr>
              <w:t>ОБРАЗЛОЖЕЊЕ</w:t>
            </w:r>
          </w:p>
        </w:tc>
        <w:tc>
          <w:tcPr>
            <w:tcW w:w="3301" w:type="dxa"/>
            <w:shd w:val="clear" w:color="auto" w:fill="D9D9D9"/>
            <w:vAlign w:val="center"/>
          </w:tcPr>
          <w:p w14:paraId="133BF1DA" w14:textId="77777777" w:rsidR="00E9749D" w:rsidRPr="002C1FE5" w:rsidRDefault="00E9749D" w:rsidP="00E9749D">
            <w:pPr>
              <w:widowControl w:val="0"/>
              <w:autoSpaceDE w:val="0"/>
              <w:autoSpaceDN w:val="0"/>
              <w:spacing w:before="5" w:after="0" w:line="240" w:lineRule="auto"/>
              <w:jc w:val="center"/>
              <w:rPr>
                <w:rFonts w:eastAsia="Times New Roman" w:cs="Times New Roman"/>
                <w:b/>
                <w:kern w:val="0"/>
                <w:sz w:val="18"/>
                <w:szCs w:val="18"/>
                <w:lang w:val="sr-Cyrl-RS"/>
                <w14:ligatures w14:val="none"/>
              </w:rPr>
            </w:pPr>
            <w:r w:rsidRPr="002C1FE5">
              <w:rPr>
                <w:rFonts w:eastAsia="Times New Roman" w:cs="Times New Roman"/>
                <w:b/>
                <w:kern w:val="0"/>
                <w:sz w:val="18"/>
                <w:szCs w:val="18"/>
                <w:lang w:val="sr-Cyrl-RS"/>
                <w14:ligatures w14:val="none"/>
              </w:rPr>
              <w:t>МИТ МИШЉЕЊЕ</w:t>
            </w:r>
          </w:p>
        </w:tc>
      </w:tr>
      <w:tr w:rsidR="001135CF" w:rsidRPr="00E9749D" w14:paraId="526B07BA" w14:textId="77777777" w:rsidTr="000E675D">
        <w:trPr>
          <w:trHeight w:val="1153"/>
        </w:trPr>
        <w:tc>
          <w:tcPr>
            <w:tcW w:w="1129" w:type="dxa"/>
            <w:vAlign w:val="center"/>
          </w:tcPr>
          <w:p w14:paraId="34F44D86" w14:textId="77777777" w:rsidR="001135CF" w:rsidRDefault="00A634A8" w:rsidP="00E9749D">
            <w:pPr>
              <w:widowControl w:val="0"/>
              <w:autoSpaceDE w:val="0"/>
              <w:autoSpaceDN w:val="0"/>
              <w:spacing w:before="5" w:after="0" w:line="240" w:lineRule="auto"/>
              <w:jc w:val="center"/>
              <w:rPr>
                <w:rFonts w:eastAsia="Times New Roman" w:cs="Times New Roman"/>
                <w:kern w:val="0"/>
                <w:szCs w:val="24"/>
                <w:lang w:val="sr-Cyrl-RS"/>
                <w14:ligatures w14:val="none"/>
              </w:rPr>
            </w:pPr>
            <w:r>
              <w:rPr>
                <w:rFonts w:eastAsia="Times New Roman" w:cs="Times New Roman"/>
                <w:kern w:val="0"/>
                <w:szCs w:val="24"/>
                <w:lang w:val="sr-Cyrl-RS"/>
                <w14:ligatures w14:val="none"/>
              </w:rPr>
              <w:t>1.</w:t>
            </w:r>
          </w:p>
          <w:p w14:paraId="601B1B5E" w14:textId="6B235DA6" w:rsidR="00A634A8" w:rsidRPr="001629AE" w:rsidRDefault="00A634A8" w:rsidP="00E9749D">
            <w:pPr>
              <w:widowControl w:val="0"/>
              <w:autoSpaceDE w:val="0"/>
              <w:autoSpaceDN w:val="0"/>
              <w:spacing w:before="5" w:after="0" w:line="240" w:lineRule="auto"/>
              <w:jc w:val="center"/>
              <w:rPr>
                <w:rFonts w:eastAsia="Times New Roman" w:cs="Times New Roman"/>
                <w:kern w:val="0"/>
                <w:szCs w:val="24"/>
                <w:lang w:val="sr-Cyrl-RS"/>
                <w14:ligatures w14:val="none"/>
              </w:rPr>
            </w:pPr>
          </w:p>
        </w:tc>
        <w:tc>
          <w:tcPr>
            <w:tcW w:w="1701" w:type="dxa"/>
          </w:tcPr>
          <w:p w14:paraId="0AF5DB50" w14:textId="46054910" w:rsidR="001135CF" w:rsidRPr="001135CF" w:rsidRDefault="001135CF" w:rsidP="000E675D">
            <w:pPr>
              <w:widowControl w:val="0"/>
              <w:autoSpaceDE w:val="0"/>
              <w:autoSpaceDN w:val="0"/>
              <w:spacing w:before="5" w:after="0" w:line="240" w:lineRule="auto"/>
              <w:jc w:val="left"/>
              <w:rPr>
                <w:rFonts w:eastAsia="Times New Roman" w:cs="Times New Roman"/>
                <w:kern w:val="0"/>
                <w:szCs w:val="24"/>
                <w:lang w:val="sr-Cyrl-RS"/>
                <w14:ligatures w14:val="none"/>
              </w:rPr>
            </w:pPr>
            <w:r>
              <w:rPr>
                <w:rFonts w:eastAsia="Times New Roman" w:cs="Times New Roman"/>
                <w:kern w:val="0"/>
                <w:szCs w:val="24"/>
                <w:lang w:val="sr-Cyrl-RS"/>
                <w14:ligatures w14:val="none"/>
              </w:rPr>
              <w:t>РАТЕЛ</w:t>
            </w:r>
          </w:p>
        </w:tc>
        <w:tc>
          <w:tcPr>
            <w:tcW w:w="5387" w:type="dxa"/>
          </w:tcPr>
          <w:p w14:paraId="4EF07EEE" w14:textId="77777777" w:rsidR="00B84EC6" w:rsidRPr="00B84EC6" w:rsidRDefault="00B84EC6" w:rsidP="00B84EC6">
            <w:pPr>
              <w:widowControl w:val="0"/>
              <w:autoSpaceDE w:val="0"/>
              <w:autoSpaceDN w:val="0"/>
              <w:spacing w:before="5" w:after="0" w:line="240" w:lineRule="auto"/>
              <w:jc w:val="left"/>
              <w:rPr>
                <w:rFonts w:eastAsia="Times New Roman" w:cs="Times New Roman"/>
                <w:kern w:val="0"/>
                <w:szCs w:val="24"/>
                <w:lang w:val="sr-Cyrl-RS"/>
                <w14:ligatures w14:val="none"/>
              </w:rPr>
            </w:pPr>
            <w:r w:rsidRPr="00B84EC6">
              <w:rPr>
                <w:rFonts w:eastAsia="Times New Roman" w:cs="Times New Roman"/>
                <w:kern w:val="0"/>
                <w:szCs w:val="24"/>
                <w:lang w:val="sr-Cyrl-RS"/>
                <w14:ligatures w14:val="none"/>
              </w:rPr>
              <w:t>Регулаторно тело за електронске комуникације и поштанске услуге (у даљем тексту: РАТЕЛ) сматра да доношење Закона о изменама и допунама Закона о електронским комуникацијама представља значајан корак ка даљем усклађивању националног регулаторног оквира са правним тековинама Европске уније у области роминга.</w:t>
            </w:r>
          </w:p>
          <w:p w14:paraId="7B425A8E" w14:textId="77777777" w:rsidR="00B84EC6" w:rsidRPr="00B84EC6" w:rsidRDefault="00B84EC6" w:rsidP="00B84EC6">
            <w:pPr>
              <w:widowControl w:val="0"/>
              <w:autoSpaceDE w:val="0"/>
              <w:autoSpaceDN w:val="0"/>
              <w:spacing w:before="5" w:after="0" w:line="240" w:lineRule="auto"/>
              <w:jc w:val="left"/>
              <w:rPr>
                <w:rFonts w:eastAsia="Times New Roman" w:cs="Times New Roman"/>
                <w:kern w:val="0"/>
                <w:szCs w:val="24"/>
                <w:lang w:val="sr-Cyrl-RS"/>
                <w14:ligatures w14:val="none"/>
              </w:rPr>
            </w:pPr>
          </w:p>
          <w:p w14:paraId="3B990195" w14:textId="77777777" w:rsidR="00B84EC6" w:rsidRPr="00B84EC6" w:rsidRDefault="00B84EC6" w:rsidP="00B84EC6">
            <w:pPr>
              <w:widowControl w:val="0"/>
              <w:autoSpaceDE w:val="0"/>
              <w:autoSpaceDN w:val="0"/>
              <w:spacing w:before="5" w:after="0" w:line="240" w:lineRule="auto"/>
              <w:jc w:val="left"/>
              <w:rPr>
                <w:rFonts w:eastAsia="Times New Roman" w:cs="Times New Roman"/>
                <w:kern w:val="0"/>
                <w:szCs w:val="24"/>
                <w:lang w:val="sr-Cyrl-RS"/>
                <w14:ligatures w14:val="none"/>
              </w:rPr>
            </w:pPr>
            <w:r w:rsidRPr="00B84EC6">
              <w:rPr>
                <w:rFonts w:eastAsia="Times New Roman" w:cs="Times New Roman"/>
                <w:kern w:val="0"/>
                <w:szCs w:val="24"/>
                <w:lang w:val="sr-Cyrl-RS"/>
                <w14:ligatures w14:val="none"/>
              </w:rPr>
              <w:t>РАТЕЛ посебно истиче значај мера које доприносе унапређењу услова за коришћење услуга роминга, укључујући смањење трошкова, већу транспарентност и квалитет услуге за крајње кориснике који путују у државе Европске уније. Ове измене имају потенцијал да директно утичу на побољшање корисничког искуства, као и на даље приближавање домаћег тржишта јединственом дигиталном тржишту Европске уније.</w:t>
            </w:r>
          </w:p>
          <w:p w14:paraId="77DE7EAD" w14:textId="77777777" w:rsidR="00B84EC6" w:rsidRPr="00B84EC6" w:rsidRDefault="00B84EC6" w:rsidP="00B84EC6">
            <w:pPr>
              <w:widowControl w:val="0"/>
              <w:autoSpaceDE w:val="0"/>
              <w:autoSpaceDN w:val="0"/>
              <w:spacing w:before="5" w:after="0" w:line="240" w:lineRule="auto"/>
              <w:jc w:val="left"/>
              <w:rPr>
                <w:rFonts w:eastAsia="Times New Roman" w:cs="Times New Roman"/>
                <w:kern w:val="0"/>
                <w:szCs w:val="24"/>
                <w:lang w:val="sr-Cyrl-RS"/>
                <w14:ligatures w14:val="none"/>
              </w:rPr>
            </w:pPr>
          </w:p>
          <w:p w14:paraId="14EB50B3" w14:textId="2DAEB2FA" w:rsidR="001135CF" w:rsidRPr="00E9749D" w:rsidRDefault="00B84EC6" w:rsidP="00B84EC6">
            <w:pPr>
              <w:widowControl w:val="0"/>
              <w:autoSpaceDE w:val="0"/>
              <w:autoSpaceDN w:val="0"/>
              <w:spacing w:before="5" w:after="0" w:line="240" w:lineRule="auto"/>
              <w:jc w:val="left"/>
              <w:rPr>
                <w:rFonts w:eastAsia="Times New Roman" w:cs="Times New Roman"/>
                <w:kern w:val="0"/>
                <w:szCs w:val="24"/>
                <w:lang w:val="sr-Cyrl-RS"/>
                <w14:ligatures w14:val="none"/>
              </w:rPr>
            </w:pPr>
            <w:r w:rsidRPr="00B84EC6">
              <w:rPr>
                <w:rFonts w:eastAsia="Times New Roman" w:cs="Times New Roman"/>
                <w:kern w:val="0"/>
                <w:szCs w:val="24"/>
                <w:lang w:val="sr-Cyrl-RS"/>
                <w14:ligatures w14:val="none"/>
              </w:rPr>
              <w:t>У том смислу, РАТЕЛ изражава подршку предложеним решењима, уз достављање конкретних коментара и предлога у циљу додатног унапређења текста закона и његове пуне усклађености са релевантним европским регулаторним оквиром.</w:t>
            </w:r>
          </w:p>
        </w:tc>
        <w:tc>
          <w:tcPr>
            <w:tcW w:w="3571" w:type="dxa"/>
          </w:tcPr>
          <w:p w14:paraId="2283A531" w14:textId="77777777" w:rsidR="001135CF" w:rsidRPr="00E9749D" w:rsidRDefault="001135CF" w:rsidP="00E9749D">
            <w:pPr>
              <w:widowControl w:val="0"/>
              <w:autoSpaceDE w:val="0"/>
              <w:autoSpaceDN w:val="0"/>
              <w:spacing w:before="5" w:after="0" w:line="240" w:lineRule="auto"/>
              <w:jc w:val="left"/>
              <w:rPr>
                <w:rFonts w:eastAsia="Times New Roman" w:cs="Times New Roman"/>
                <w:iCs/>
                <w:kern w:val="0"/>
                <w:szCs w:val="24"/>
                <w:lang w:val="sr-Cyrl-RS"/>
                <w14:ligatures w14:val="none"/>
              </w:rPr>
            </w:pPr>
          </w:p>
        </w:tc>
        <w:tc>
          <w:tcPr>
            <w:tcW w:w="3301" w:type="dxa"/>
            <w:vAlign w:val="center"/>
          </w:tcPr>
          <w:p w14:paraId="2F650B30" w14:textId="77777777" w:rsidR="001135CF" w:rsidRPr="00C76CDD" w:rsidRDefault="001135CF" w:rsidP="00E9749D">
            <w:pPr>
              <w:widowControl w:val="0"/>
              <w:autoSpaceDE w:val="0"/>
              <w:autoSpaceDN w:val="0"/>
              <w:spacing w:before="5" w:after="0" w:line="240" w:lineRule="auto"/>
              <w:jc w:val="left"/>
              <w:rPr>
                <w:rFonts w:eastAsia="Times New Roman" w:cs="Times New Roman"/>
                <w:kern w:val="0"/>
                <w:szCs w:val="24"/>
                <w:lang w:val="sr-Cyrl-RS"/>
                <w14:ligatures w14:val="none"/>
              </w:rPr>
            </w:pPr>
          </w:p>
        </w:tc>
      </w:tr>
      <w:tr w:rsidR="001629AE" w:rsidRPr="00E9749D" w14:paraId="33E005E1" w14:textId="77777777" w:rsidTr="000E675D">
        <w:trPr>
          <w:trHeight w:val="1153"/>
        </w:trPr>
        <w:tc>
          <w:tcPr>
            <w:tcW w:w="1129" w:type="dxa"/>
            <w:vAlign w:val="center"/>
          </w:tcPr>
          <w:p w14:paraId="73D1BB99" w14:textId="3ABBE605" w:rsidR="001629AE" w:rsidRPr="00A634A8" w:rsidRDefault="00A634A8" w:rsidP="001629AE">
            <w:pPr>
              <w:widowControl w:val="0"/>
              <w:autoSpaceDE w:val="0"/>
              <w:autoSpaceDN w:val="0"/>
              <w:spacing w:before="5" w:after="0" w:line="240" w:lineRule="auto"/>
              <w:jc w:val="center"/>
              <w:rPr>
                <w:rFonts w:eastAsia="Times New Roman" w:cs="Times New Roman"/>
                <w:kern w:val="0"/>
                <w:szCs w:val="24"/>
                <w:lang w:val="sr-Cyrl-RS"/>
                <w14:ligatures w14:val="none"/>
              </w:rPr>
            </w:pPr>
            <w:r>
              <w:rPr>
                <w:rFonts w:eastAsia="Times New Roman" w:cs="Times New Roman"/>
                <w:kern w:val="0"/>
                <w:szCs w:val="24"/>
                <w:lang w:val="sr-Cyrl-RS"/>
                <w14:ligatures w14:val="none"/>
              </w:rPr>
              <w:lastRenderedPageBreak/>
              <w:t>2.</w:t>
            </w:r>
          </w:p>
        </w:tc>
        <w:tc>
          <w:tcPr>
            <w:tcW w:w="1701" w:type="dxa"/>
          </w:tcPr>
          <w:p w14:paraId="36D02120" w14:textId="77777777" w:rsidR="001629AE" w:rsidRPr="00E9749D" w:rsidRDefault="001629AE" w:rsidP="000E675D">
            <w:pPr>
              <w:widowControl w:val="0"/>
              <w:autoSpaceDE w:val="0"/>
              <w:autoSpaceDN w:val="0"/>
              <w:spacing w:before="5" w:after="0" w:line="240" w:lineRule="auto"/>
              <w:jc w:val="left"/>
              <w:rPr>
                <w:rFonts w:eastAsia="Times New Roman" w:cs="Times New Roman"/>
                <w:kern w:val="0"/>
                <w:szCs w:val="24"/>
                <w:lang w:val="sr-Cyrl-RS"/>
                <w14:ligatures w14:val="none"/>
              </w:rPr>
            </w:pPr>
          </w:p>
          <w:p w14:paraId="6993A1B6" w14:textId="77777777" w:rsidR="001629AE" w:rsidRPr="00E9749D" w:rsidRDefault="001629AE" w:rsidP="000E675D">
            <w:pPr>
              <w:widowControl w:val="0"/>
              <w:autoSpaceDE w:val="0"/>
              <w:autoSpaceDN w:val="0"/>
              <w:spacing w:before="5" w:after="0" w:line="240" w:lineRule="auto"/>
              <w:jc w:val="left"/>
              <w:rPr>
                <w:rFonts w:eastAsia="Times New Roman" w:cs="Times New Roman"/>
                <w:kern w:val="0"/>
                <w:szCs w:val="24"/>
                <w14:ligatures w14:val="none"/>
              </w:rPr>
            </w:pPr>
            <w:r w:rsidRPr="00E9749D">
              <w:rPr>
                <w:rFonts w:eastAsia="Times New Roman" w:cs="Times New Roman"/>
                <w:kern w:val="0"/>
                <w:szCs w:val="24"/>
                <w14:ligatures w14:val="none"/>
              </w:rPr>
              <w:t>Yettel д.о.о. Београд</w:t>
            </w:r>
          </w:p>
          <w:p w14:paraId="5016C329" w14:textId="77777777" w:rsidR="001629AE" w:rsidRDefault="001629AE" w:rsidP="000E675D">
            <w:pPr>
              <w:widowControl w:val="0"/>
              <w:autoSpaceDE w:val="0"/>
              <w:autoSpaceDN w:val="0"/>
              <w:spacing w:before="5" w:after="0" w:line="240" w:lineRule="auto"/>
              <w:jc w:val="left"/>
              <w:rPr>
                <w:rFonts w:eastAsia="Times New Roman" w:cs="Times New Roman"/>
                <w:kern w:val="0"/>
                <w:szCs w:val="24"/>
                <w:lang w:val="sr-Cyrl-RS"/>
                <w14:ligatures w14:val="none"/>
              </w:rPr>
            </w:pPr>
          </w:p>
        </w:tc>
        <w:tc>
          <w:tcPr>
            <w:tcW w:w="5387" w:type="dxa"/>
          </w:tcPr>
          <w:p w14:paraId="1449C900" w14:textId="18163DE6" w:rsidR="001629AE" w:rsidRPr="00B84EC6" w:rsidRDefault="001629AE" w:rsidP="001629AE">
            <w:pPr>
              <w:widowControl w:val="0"/>
              <w:autoSpaceDE w:val="0"/>
              <w:autoSpaceDN w:val="0"/>
              <w:spacing w:before="5" w:after="0" w:line="240" w:lineRule="auto"/>
              <w:jc w:val="left"/>
              <w:rPr>
                <w:rFonts w:eastAsia="Times New Roman" w:cs="Times New Roman"/>
                <w:kern w:val="0"/>
                <w:szCs w:val="24"/>
                <w:lang w:val="sr-Cyrl-RS"/>
                <w14:ligatures w14:val="none"/>
              </w:rPr>
            </w:pPr>
            <w:r w:rsidRPr="00E9749D">
              <w:rPr>
                <w:rFonts w:eastAsia="Times New Roman" w:cs="Times New Roman"/>
                <w:kern w:val="0"/>
                <w:szCs w:val="24"/>
                <w14:ligatures w14:val="none"/>
              </w:rPr>
              <w:t>Узимајући у обзир да се увођењем RLAH режима између региона подразумева реципроцитет у погледу обавеза и бенефита за кориснике тих региона, мишљења смо да реципроцитет треба да се јасније назначи у самом Закону.</w:t>
            </w:r>
          </w:p>
        </w:tc>
        <w:tc>
          <w:tcPr>
            <w:tcW w:w="3571" w:type="dxa"/>
          </w:tcPr>
          <w:p w14:paraId="6DB0B4F4" w14:textId="28516950" w:rsidR="001629AE" w:rsidRPr="00E9749D" w:rsidRDefault="001629AE" w:rsidP="001629AE">
            <w:pPr>
              <w:widowControl w:val="0"/>
              <w:autoSpaceDE w:val="0"/>
              <w:autoSpaceDN w:val="0"/>
              <w:spacing w:before="5" w:after="0" w:line="240" w:lineRule="auto"/>
              <w:jc w:val="left"/>
              <w:rPr>
                <w:rFonts w:eastAsia="Times New Roman" w:cs="Times New Roman"/>
                <w:iCs/>
                <w:kern w:val="0"/>
                <w:szCs w:val="24"/>
                <w:lang w:val="sr-Cyrl-RS"/>
                <w14:ligatures w14:val="none"/>
              </w:rPr>
            </w:pPr>
            <w:r w:rsidRPr="00E9749D">
              <w:rPr>
                <w:rFonts w:eastAsia="Times New Roman" w:cs="Times New Roman"/>
                <w:kern w:val="0"/>
                <w:szCs w:val="24"/>
                <w14:ligatures w14:val="none"/>
              </w:rPr>
              <w:t>Треба имати у виду да је у Европској унији, приликом увођења RLAH режима, аутоматски обезбеђен реципроцитет међу државама чланицама јер припадају истом административном и правном систему, те се предметна регулатива примењивала на све државе чланице. Када је у питању увођење RLAH режима између Републике Србије и ЕУ, такав реципроцитет се не подразумева јер Србија није део правног система Европске уније, па је неопходно да се у Закону реципроцитет између Републике Србије и ЕУ посебно нагласи и јасно дефинише.</w:t>
            </w:r>
          </w:p>
        </w:tc>
        <w:tc>
          <w:tcPr>
            <w:tcW w:w="3301" w:type="dxa"/>
          </w:tcPr>
          <w:p w14:paraId="5641E3D9" w14:textId="77777777" w:rsidR="001629AE" w:rsidRPr="005038C0" w:rsidRDefault="001629AE" w:rsidP="001629AE">
            <w:pPr>
              <w:pStyle w:val="TableParagraph"/>
              <w:rPr>
                <w:sz w:val="24"/>
                <w:szCs w:val="24"/>
                <w:lang w:val="sr-Cyrl-RS"/>
              </w:rPr>
            </w:pPr>
            <w:r>
              <w:rPr>
                <w:szCs w:val="24"/>
                <w:lang w:val="sr-Cyrl-RS"/>
              </w:rPr>
              <w:t xml:space="preserve">Укључивањем Републике Србије у европски режим „У ромингу као код куће“, РС пуноправно приступа јединственом дигиталном тржишту ЕУ у делу роминга. </w:t>
            </w:r>
            <w:r>
              <w:rPr>
                <w:sz w:val="24"/>
                <w:szCs w:val="24"/>
                <w:lang w:val="sr-Cyrl-RS"/>
              </w:rPr>
              <w:t>З</w:t>
            </w:r>
            <w:r w:rsidRPr="008B57F6">
              <w:rPr>
                <w:sz w:val="24"/>
                <w:szCs w:val="24"/>
                <w:lang w:val="sr-Cyrl-RS"/>
              </w:rPr>
              <w:t>а Републику Србију и мобилне операторе који послују на територији РС важиће идентична права и обавезе које имају земље чланице ЕУ и мобилни оператори који послују на територији ЕУ.</w:t>
            </w:r>
          </w:p>
          <w:p w14:paraId="2F1AD812" w14:textId="77777777" w:rsidR="001629AE" w:rsidRPr="00C76CDD" w:rsidRDefault="001629AE" w:rsidP="001629AE">
            <w:pPr>
              <w:widowControl w:val="0"/>
              <w:autoSpaceDE w:val="0"/>
              <w:autoSpaceDN w:val="0"/>
              <w:spacing w:before="5" w:after="0" w:line="240" w:lineRule="auto"/>
              <w:jc w:val="left"/>
              <w:rPr>
                <w:rFonts w:eastAsia="Times New Roman" w:cs="Times New Roman"/>
                <w:kern w:val="0"/>
                <w:szCs w:val="24"/>
                <w:lang w:val="sr-Cyrl-RS"/>
                <w14:ligatures w14:val="none"/>
              </w:rPr>
            </w:pPr>
          </w:p>
        </w:tc>
      </w:tr>
      <w:tr w:rsidR="001629AE" w:rsidRPr="00E9749D" w14:paraId="290F1903" w14:textId="77777777" w:rsidTr="000E675D">
        <w:trPr>
          <w:trHeight w:val="1153"/>
        </w:trPr>
        <w:tc>
          <w:tcPr>
            <w:tcW w:w="1129" w:type="dxa"/>
            <w:vAlign w:val="center"/>
          </w:tcPr>
          <w:p w14:paraId="704648F4" w14:textId="60E92ED1" w:rsidR="001629AE" w:rsidRPr="00A634A8" w:rsidRDefault="00A634A8" w:rsidP="001629AE">
            <w:pPr>
              <w:widowControl w:val="0"/>
              <w:autoSpaceDE w:val="0"/>
              <w:autoSpaceDN w:val="0"/>
              <w:spacing w:before="5" w:after="0" w:line="240" w:lineRule="auto"/>
              <w:jc w:val="center"/>
              <w:rPr>
                <w:rFonts w:eastAsia="Times New Roman" w:cs="Times New Roman"/>
                <w:kern w:val="0"/>
                <w:szCs w:val="24"/>
                <w:lang w:val="sr-Cyrl-RS"/>
                <w14:ligatures w14:val="none"/>
              </w:rPr>
            </w:pPr>
            <w:r>
              <w:rPr>
                <w:rFonts w:eastAsia="Times New Roman" w:cs="Times New Roman"/>
                <w:kern w:val="0"/>
                <w:szCs w:val="24"/>
                <w:lang w:val="sr-Cyrl-RS"/>
                <w14:ligatures w14:val="none"/>
              </w:rPr>
              <w:t>3.</w:t>
            </w:r>
          </w:p>
        </w:tc>
        <w:tc>
          <w:tcPr>
            <w:tcW w:w="1701" w:type="dxa"/>
          </w:tcPr>
          <w:p w14:paraId="613ED9EA" w14:textId="77777777" w:rsidR="001629AE" w:rsidRPr="00E9749D" w:rsidRDefault="001629AE" w:rsidP="000E675D">
            <w:pPr>
              <w:widowControl w:val="0"/>
              <w:autoSpaceDE w:val="0"/>
              <w:autoSpaceDN w:val="0"/>
              <w:spacing w:before="5" w:after="0" w:line="240" w:lineRule="auto"/>
              <w:jc w:val="left"/>
              <w:rPr>
                <w:rFonts w:eastAsia="Times New Roman" w:cs="Times New Roman"/>
                <w:kern w:val="0"/>
                <w:szCs w:val="24"/>
                <w14:ligatures w14:val="none"/>
              </w:rPr>
            </w:pPr>
            <w:r w:rsidRPr="00E9749D">
              <w:rPr>
                <w:rFonts w:eastAsia="Times New Roman" w:cs="Times New Roman"/>
                <w:kern w:val="0"/>
                <w:szCs w:val="24"/>
                <w14:ligatures w14:val="none"/>
              </w:rPr>
              <w:t>Yettel д.о.о. Београд</w:t>
            </w:r>
          </w:p>
          <w:p w14:paraId="433AC8C3" w14:textId="77777777" w:rsidR="001629AE" w:rsidRPr="00E9749D" w:rsidRDefault="001629AE" w:rsidP="000E675D">
            <w:pPr>
              <w:widowControl w:val="0"/>
              <w:autoSpaceDE w:val="0"/>
              <w:autoSpaceDN w:val="0"/>
              <w:spacing w:before="5" w:after="0" w:line="240" w:lineRule="auto"/>
              <w:jc w:val="left"/>
              <w:rPr>
                <w:rFonts w:eastAsia="Times New Roman" w:cs="Times New Roman"/>
                <w:kern w:val="0"/>
                <w:szCs w:val="24"/>
                <w:lang w:val="sr-Cyrl-RS"/>
                <w14:ligatures w14:val="none"/>
              </w:rPr>
            </w:pPr>
          </w:p>
          <w:p w14:paraId="5369BA91" w14:textId="77777777" w:rsidR="001629AE" w:rsidRDefault="001629AE" w:rsidP="000E675D">
            <w:pPr>
              <w:widowControl w:val="0"/>
              <w:autoSpaceDE w:val="0"/>
              <w:autoSpaceDN w:val="0"/>
              <w:spacing w:before="5" w:after="0" w:line="240" w:lineRule="auto"/>
              <w:jc w:val="left"/>
              <w:rPr>
                <w:rFonts w:eastAsia="Times New Roman" w:cs="Times New Roman"/>
                <w:kern w:val="0"/>
                <w:szCs w:val="24"/>
                <w:lang w:val="sr-Cyrl-RS"/>
                <w14:ligatures w14:val="none"/>
              </w:rPr>
            </w:pPr>
          </w:p>
        </w:tc>
        <w:tc>
          <w:tcPr>
            <w:tcW w:w="5387" w:type="dxa"/>
          </w:tcPr>
          <w:p w14:paraId="1A272552" w14:textId="6088CAF7" w:rsidR="001629AE" w:rsidRPr="00B84EC6" w:rsidRDefault="001629AE" w:rsidP="001629AE">
            <w:pPr>
              <w:widowControl w:val="0"/>
              <w:autoSpaceDE w:val="0"/>
              <w:autoSpaceDN w:val="0"/>
              <w:spacing w:before="5" w:after="0" w:line="240" w:lineRule="auto"/>
              <w:jc w:val="left"/>
              <w:rPr>
                <w:rFonts w:eastAsia="Times New Roman" w:cs="Times New Roman"/>
                <w:kern w:val="0"/>
                <w:szCs w:val="24"/>
                <w:lang w:val="sr-Cyrl-RS"/>
                <w14:ligatures w14:val="none"/>
              </w:rPr>
            </w:pPr>
            <w:r w:rsidRPr="00E9749D">
              <w:rPr>
                <w:rFonts w:eastAsia="Times New Roman" w:cs="Times New Roman"/>
                <w:kern w:val="0"/>
                <w:szCs w:val="24"/>
                <w14:ligatures w14:val="none"/>
              </w:rPr>
              <w:t>Замолили бисмо за потврду да premium rate и freephone бројеви неће бити предмет RLAH регулације, у складу са Уредбом ЕУ о ромингу.</w:t>
            </w:r>
          </w:p>
        </w:tc>
        <w:tc>
          <w:tcPr>
            <w:tcW w:w="3571" w:type="dxa"/>
          </w:tcPr>
          <w:p w14:paraId="7ADF5AC4" w14:textId="77777777" w:rsidR="001629AE" w:rsidRDefault="001629AE" w:rsidP="001629AE">
            <w:pPr>
              <w:widowControl w:val="0"/>
              <w:autoSpaceDE w:val="0"/>
              <w:autoSpaceDN w:val="0"/>
              <w:spacing w:before="5" w:after="0" w:line="240" w:lineRule="auto"/>
              <w:jc w:val="left"/>
              <w:rPr>
                <w:rFonts w:eastAsia="Times New Roman" w:cs="Times New Roman"/>
                <w:kern w:val="0"/>
                <w:szCs w:val="24"/>
                <w:lang w:val="sr-Cyrl-CS"/>
                <w14:ligatures w14:val="none"/>
              </w:rPr>
            </w:pPr>
          </w:p>
          <w:p w14:paraId="6ACF69B1" w14:textId="77777777" w:rsidR="001629AE" w:rsidRPr="00E9749D" w:rsidRDefault="001629AE" w:rsidP="001629AE">
            <w:pPr>
              <w:widowControl w:val="0"/>
              <w:autoSpaceDE w:val="0"/>
              <w:autoSpaceDN w:val="0"/>
              <w:spacing w:before="5" w:after="0" w:line="240" w:lineRule="auto"/>
              <w:jc w:val="left"/>
              <w:rPr>
                <w:rFonts w:eastAsia="Times New Roman" w:cs="Times New Roman"/>
                <w:iCs/>
                <w:kern w:val="0"/>
                <w:szCs w:val="24"/>
                <w:lang w:val="sr-Cyrl-RS"/>
                <w14:ligatures w14:val="none"/>
              </w:rPr>
            </w:pPr>
          </w:p>
        </w:tc>
        <w:tc>
          <w:tcPr>
            <w:tcW w:w="3301" w:type="dxa"/>
            <w:vAlign w:val="center"/>
          </w:tcPr>
          <w:p w14:paraId="759AE21D" w14:textId="77777777" w:rsidR="00D463BF" w:rsidRPr="00D463BF" w:rsidRDefault="00D463BF" w:rsidP="00D463BF">
            <w:pPr>
              <w:pStyle w:val="TableParagraph"/>
              <w:rPr>
                <w:sz w:val="24"/>
                <w:szCs w:val="24"/>
                <w:lang w:val="sr-Cyrl-RS"/>
              </w:rPr>
            </w:pPr>
            <w:r w:rsidRPr="00D463BF">
              <w:rPr>
                <w:sz w:val="24"/>
                <w:szCs w:val="24"/>
                <w:lang w:val="sr-Cyrl-RS"/>
              </w:rPr>
              <w:t xml:space="preserve">У уводној изјави 37. Уредбе ЕУ 2022/612 о ромингу наведено је да комуникације ка одређеним бројевима који се користе за пружање услуга са додатом вредношћу, на пример бројевима са посебном тарифом (premium rate), бесплатним бројевима (freephone) или бројевима са подељеним трошковима (shared cost), подлежу посебним условима </w:t>
            </w:r>
            <w:r w:rsidRPr="00D463BF">
              <w:rPr>
                <w:sz w:val="24"/>
                <w:szCs w:val="24"/>
                <w:lang w:val="sr-Cyrl-RS"/>
              </w:rPr>
              <w:lastRenderedPageBreak/>
              <w:t>одређивања цена на националном нивоу. Ова уредба не треба да се примењује на део тарифе који се односи на пружање услуга са додатом вредношћу, већ само на тарифе за успостављање везе ка тим услугама.</w:t>
            </w:r>
          </w:p>
          <w:p w14:paraId="51E15969" w14:textId="77777777" w:rsidR="00D463BF" w:rsidRPr="00D463BF" w:rsidRDefault="00D463BF" w:rsidP="00D463BF">
            <w:pPr>
              <w:pStyle w:val="TableParagraph"/>
              <w:rPr>
                <w:sz w:val="24"/>
                <w:szCs w:val="24"/>
                <w:lang w:val="sr-Cyrl-RS"/>
              </w:rPr>
            </w:pPr>
            <w:r w:rsidRPr="00D463BF">
              <w:rPr>
                <w:sz w:val="24"/>
                <w:szCs w:val="24"/>
                <w:lang w:val="sr-Cyrl-RS"/>
              </w:rPr>
              <w:t>Принцип RLAH-а може створити очекивање код корисника роминга да комуникације ка таквим бројевима током роминга неће изазвати додатне трошкове у односу на домаћу ситуацију. Међутим, то није увек случај када се користи роминг. Корисници роминга суочавају се са повећаним трошковима, чак и када позивају бројеве који су бесплатни у домаћем саобраћају. То може нарушити поверење корисника у коришћење мобилних телефона у ромингу и довести до  bill shock-а, чиме се негативно утиче на стварно искуство примене принципа RLAH-a.</w:t>
            </w:r>
          </w:p>
          <w:p w14:paraId="4D2FFA1E" w14:textId="77777777" w:rsidR="00D463BF" w:rsidRPr="00D463BF" w:rsidRDefault="00D463BF" w:rsidP="00D463BF">
            <w:pPr>
              <w:pStyle w:val="TableParagraph"/>
              <w:rPr>
                <w:sz w:val="24"/>
                <w:szCs w:val="24"/>
                <w:lang w:val="sr-Cyrl-RS"/>
              </w:rPr>
            </w:pPr>
            <w:r w:rsidRPr="00D463BF">
              <w:rPr>
                <w:sz w:val="24"/>
                <w:szCs w:val="24"/>
                <w:lang w:val="sr-Cyrl-RS"/>
              </w:rPr>
              <w:t xml:space="preserve">На малопродајном нивоу, ово је углавном последица недовољног нивоа </w:t>
            </w:r>
            <w:r w:rsidRPr="00D463BF">
              <w:rPr>
                <w:sz w:val="24"/>
                <w:szCs w:val="24"/>
                <w:lang w:val="sr-Cyrl-RS"/>
              </w:rPr>
              <w:lastRenderedPageBreak/>
              <w:t>транспарентности у вези са вишим накнадама које могу настати приликом комуникација ка бројевима за услуге са додатом вредношћу. Стога је потребно увести мере за подизање свести о ризику од високих рачуна и повећање транспарентности у погледу услова који се односе на комуникације ка таквим бројевима. У том циљу, корисници роминга треба да буду информисани у свом малопродајном уговору, као и да буду благовремено, на јасан и кориснички разумљив начин и без накнаде обавештени и упозорени да комуникације ка бројевима за услуге са додатом вредношћу у ромингу могу подразумевати додатне трошкове.</w:t>
            </w:r>
          </w:p>
          <w:p w14:paraId="449B3D18" w14:textId="77777777" w:rsidR="00D463BF" w:rsidRPr="00D463BF" w:rsidRDefault="00D463BF" w:rsidP="00D463BF">
            <w:pPr>
              <w:pStyle w:val="TableParagraph"/>
              <w:rPr>
                <w:sz w:val="24"/>
                <w:szCs w:val="24"/>
                <w:lang w:val="sr-Cyrl-RS"/>
              </w:rPr>
            </w:pPr>
            <w:r w:rsidRPr="00D463BF">
              <w:rPr>
                <w:sz w:val="24"/>
                <w:szCs w:val="24"/>
                <w:lang w:val="sr-Cyrl-RS"/>
              </w:rPr>
              <w:t>Могућност деактивације наплате од стране трећих лица из Анекса  VI  Директиве (ЕУ) 2018/1972, уколико је доступна, може се применити и у ситуацијама роминга.</w:t>
            </w:r>
          </w:p>
          <w:p w14:paraId="1283A6A6" w14:textId="77777777" w:rsidR="00D463BF" w:rsidRPr="00D463BF" w:rsidRDefault="00D463BF" w:rsidP="00D463BF">
            <w:pPr>
              <w:pStyle w:val="TableParagraph"/>
              <w:rPr>
                <w:sz w:val="24"/>
                <w:szCs w:val="24"/>
                <w:lang w:val="sr-Cyrl-RS"/>
              </w:rPr>
            </w:pPr>
          </w:p>
          <w:p w14:paraId="46D266E4" w14:textId="469A266A" w:rsidR="001629AE" w:rsidRPr="00D463BF" w:rsidRDefault="00D463BF" w:rsidP="00D463BF">
            <w:pPr>
              <w:pStyle w:val="TableParagraph"/>
              <w:rPr>
                <w:sz w:val="24"/>
                <w:szCs w:val="24"/>
                <w:lang w:val="sr-Cyrl-RS"/>
              </w:rPr>
            </w:pPr>
            <w:r w:rsidRPr="00D463BF">
              <w:rPr>
                <w:sz w:val="24"/>
                <w:szCs w:val="24"/>
                <w:lang w:val="sr-Cyrl-RS"/>
              </w:rPr>
              <w:lastRenderedPageBreak/>
              <w:t>Додатно појашњење налази се и у тачки 20. Смерница BEREC-a BoR (22) 147 о велепродајним услугама роминга.</w:t>
            </w:r>
          </w:p>
          <w:p w14:paraId="3216A044" w14:textId="77777777" w:rsidR="001629AE" w:rsidRPr="00C76CDD" w:rsidRDefault="001629AE" w:rsidP="001629AE">
            <w:pPr>
              <w:widowControl w:val="0"/>
              <w:autoSpaceDE w:val="0"/>
              <w:autoSpaceDN w:val="0"/>
              <w:spacing w:before="5" w:after="0" w:line="240" w:lineRule="auto"/>
              <w:jc w:val="left"/>
              <w:rPr>
                <w:rFonts w:eastAsia="Times New Roman" w:cs="Times New Roman"/>
                <w:kern w:val="0"/>
                <w:szCs w:val="24"/>
                <w:lang w:val="sr-Cyrl-RS"/>
                <w14:ligatures w14:val="none"/>
              </w:rPr>
            </w:pPr>
          </w:p>
        </w:tc>
      </w:tr>
      <w:tr w:rsidR="001629AE" w:rsidRPr="00E9749D" w14:paraId="466FDFCA" w14:textId="77777777" w:rsidTr="002C1FE5">
        <w:trPr>
          <w:trHeight w:val="1153"/>
        </w:trPr>
        <w:tc>
          <w:tcPr>
            <w:tcW w:w="1129" w:type="dxa"/>
            <w:vAlign w:val="center"/>
          </w:tcPr>
          <w:p w14:paraId="3AAB4F75" w14:textId="1D5757B1" w:rsidR="001629AE" w:rsidRPr="00A634A8" w:rsidRDefault="00A634A8" w:rsidP="001629AE">
            <w:pPr>
              <w:widowControl w:val="0"/>
              <w:autoSpaceDE w:val="0"/>
              <w:autoSpaceDN w:val="0"/>
              <w:spacing w:before="5" w:after="0" w:line="240" w:lineRule="auto"/>
              <w:jc w:val="center"/>
              <w:rPr>
                <w:rFonts w:eastAsia="Times New Roman" w:cs="Times New Roman"/>
                <w:kern w:val="0"/>
                <w:szCs w:val="24"/>
                <w:lang w:val="sr-Cyrl-RS"/>
                <w14:ligatures w14:val="none"/>
              </w:rPr>
            </w:pPr>
            <w:r>
              <w:rPr>
                <w:rFonts w:eastAsia="Times New Roman" w:cs="Times New Roman"/>
                <w:kern w:val="0"/>
                <w:szCs w:val="24"/>
                <w:lang w:val="sr-Cyrl-RS"/>
                <w14:ligatures w14:val="none"/>
              </w:rPr>
              <w:lastRenderedPageBreak/>
              <w:t>4.</w:t>
            </w:r>
          </w:p>
        </w:tc>
        <w:tc>
          <w:tcPr>
            <w:tcW w:w="1701" w:type="dxa"/>
            <w:vAlign w:val="center"/>
          </w:tcPr>
          <w:p w14:paraId="02C2BFBC" w14:textId="77777777" w:rsidR="001629AE" w:rsidRPr="00E9749D" w:rsidRDefault="001629AE" w:rsidP="001629AE">
            <w:pPr>
              <w:widowControl w:val="0"/>
              <w:autoSpaceDE w:val="0"/>
              <w:autoSpaceDN w:val="0"/>
              <w:spacing w:before="5" w:after="0" w:line="240" w:lineRule="auto"/>
              <w:jc w:val="center"/>
              <w:rPr>
                <w:rFonts w:eastAsia="Times New Roman" w:cs="Times New Roman"/>
                <w:kern w:val="0"/>
                <w:szCs w:val="24"/>
                <w14:ligatures w14:val="none"/>
              </w:rPr>
            </w:pPr>
            <w:r w:rsidRPr="00E9749D">
              <w:rPr>
                <w:rFonts w:eastAsia="Times New Roman" w:cs="Times New Roman"/>
                <w:kern w:val="0"/>
                <w:szCs w:val="24"/>
                <w14:ligatures w14:val="none"/>
              </w:rPr>
              <w:t>Yettel д.о.о. Београд</w:t>
            </w:r>
          </w:p>
          <w:p w14:paraId="59142035" w14:textId="77777777" w:rsidR="001629AE" w:rsidRDefault="001629AE" w:rsidP="001629AE">
            <w:pPr>
              <w:widowControl w:val="0"/>
              <w:autoSpaceDE w:val="0"/>
              <w:autoSpaceDN w:val="0"/>
              <w:spacing w:before="5" w:after="0" w:line="240" w:lineRule="auto"/>
              <w:jc w:val="center"/>
              <w:rPr>
                <w:rFonts w:eastAsia="Times New Roman" w:cs="Times New Roman"/>
                <w:kern w:val="0"/>
                <w:szCs w:val="24"/>
                <w:lang w:val="sr-Cyrl-RS"/>
                <w14:ligatures w14:val="none"/>
              </w:rPr>
            </w:pPr>
          </w:p>
        </w:tc>
        <w:tc>
          <w:tcPr>
            <w:tcW w:w="5387" w:type="dxa"/>
          </w:tcPr>
          <w:p w14:paraId="0442366A" w14:textId="77777777" w:rsidR="001629AE" w:rsidRPr="00E9749D" w:rsidRDefault="001629AE" w:rsidP="001629AE">
            <w:pPr>
              <w:widowControl w:val="0"/>
              <w:autoSpaceDE w:val="0"/>
              <w:autoSpaceDN w:val="0"/>
              <w:spacing w:before="5" w:after="0" w:line="240" w:lineRule="auto"/>
              <w:jc w:val="left"/>
              <w:rPr>
                <w:rFonts w:eastAsia="Times New Roman" w:cs="Times New Roman"/>
                <w:kern w:val="0"/>
                <w:szCs w:val="24"/>
                <w:lang w:val="sr-Cyrl-RS"/>
                <w14:ligatures w14:val="none"/>
              </w:rPr>
            </w:pPr>
          </w:p>
          <w:p w14:paraId="7B2E2CF0" w14:textId="77777777" w:rsidR="001629AE" w:rsidRPr="00E9749D" w:rsidRDefault="001629AE" w:rsidP="001629AE">
            <w:pPr>
              <w:widowControl w:val="0"/>
              <w:autoSpaceDE w:val="0"/>
              <w:autoSpaceDN w:val="0"/>
              <w:spacing w:before="5" w:after="0" w:line="240" w:lineRule="auto"/>
              <w:jc w:val="left"/>
              <w:rPr>
                <w:rFonts w:eastAsia="Times New Roman" w:cs="Times New Roman"/>
                <w:kern w:val="0"/>
                <w:szCs w:val="24"/>
                <w:lang w:val="sr-Cyrl-RS"/>
                <w14:ligatures w14:val="none"/>
              </w:rPr>
            </w:pPr>
            <w:r w:rsidRPr="0067205E">
              <w:rPr>
                <w:rFonts w:eastAsia="Times New Roman" w:cs="Times New Roman"/>
                <w:kern w:val="0"/>
                <w:szCs w:val="24"/>
                <w14:ligatures w14:val="none"/>
              </w:rPr>
              <w:t>Замолили бисмо да се дефинише списак земаља на који се односи ЕУ регулација.</w:t>
            </w:r>
          </w:p>
          <w:p w14:paraId="74246FE3" w14:textId="77777777" w:rsidR="001629AE" w:rsidRPr="00B84EC6" w:rsidRDefault="001629AE" w:rsidP="001629AE">
            <w:pPr>
              <w:widowControl w:val="0"/>
              <w:autoSpaceDE w:val="0"/>
              <w:autoSpaceDN w:val="0"/>
              <w:spacing w:before="5" w:after="0" w:line="240" w:lineRule="auto"/>
              <w:jc w:val="left"/>
              <w:rPr>
                <w:rFonts w:eastAsia="Times New Roman" w:cs="Times New Roman"/>
                <w:kern w:val="0"/>
                <w:szCs w:val="24"/>
                <w:lang w:val="sr-Cyrl-RS"/>
                <w14:ligatures w14:val="none"/>
              </w:rPr>
            </w:pPr>
          </w:p>
        </w:tc>
        <w:tc>
          <w:tcPr>
            <w:tcW w:w="3571" w:type="dxa"/>
          </w:tcPr>
          <w:p w14:paraId="34E5411D" w14:textId="77777777" w:rsidR="001629AE" w:rsidRPr="00E9749D" w:rsidRDefault="001629AE" w:rsidP="001629AE">
            <w:pPr>
              <w:widowControl w:val="0"/>
              <w:autoSpaceDE w:val="0"/>
              <w:autoSpaceDN w:val="0"/>
              <w:spacing w:before="5" w:after="0" w:line="240" w:lineRule="auto"/>
              <w:jc w:val="left"/>
              <w:rPr>
                <w:rFonts w:eastAsia="Times New Roman" w:cs="Times New Roman"/>
                <w:iCs/>
                <w:kern w:val="0"/>
                <w:szCs w:val="24"/>
                <w:lang w:val="sr-Cyrl-RS"/>
                <w14:ligatures w14:val="none"/>
              </w:rPr>
            </w:pPr>
          </w:p>
        </w:tc>
        <w:tc>
          <w:tcPr>
            <w:tcW w:w="3301" w:type="dxa"/>
            <w:vAlign w:val="center"/>
          </w:tcPr>
          <w:p w14:paraId="59FFD3DE" w14:textId="4E2E28BC" w:rsidR="001629AE" w:rsidRPr="00C76CDD" w:rsidRDefault="00004379" w:rsidP="001629AE">
            <w:pPr>
              <w:widowControl w:val="0"/>
              <w:autoSpaceDE w:val="0"/>
              <w:autoSpaceDN w:val="0"/>
              <w:spacing w:before="5" w:after="0" w:line="240" w:lineRule="auto"/>
              <w:jc w:val="left"/>
              <w:rPr>
                <w:rFonts w:eastAsia="Times New Roman" w:cs="Times New Roman"/>
                <w:kern w:val="0"/>
                <w:szCs w:val="24"/>
                <w:lang w:val="sr-Cyrl-RS"/>
                <w14:ligatures w14:val="none"/>
              </w:rPr>
            </w:pPr>
            <w:r w:rsidRPr="00004379">
              <w:rPr>
                <w:rFonts w:eastAsia="Times New Roman" w:cs="Times New Roman"/>
                <w:kern w:val="0"/>
                <w:szCs w:val="24"/>
                <w:lang w:val="sr-Cyrl-RS"/>
                <w14:ligatures w14:val="none"/>
              </w:rPr>
              <w:t>Списак држава Европске уније које ће бити обухваћене роминг регулацијом не може бити предмет уређивања у Нацрту закона, већ ће овај ниво детаљности бити разрађен у току преговора са Европском комисијом.</w:t>
            </w:r>
          </w:p>
        </w:tc>
      </w:tr>
    </w:tbl>
    <w:p w14:paraId="1D2AECAB" w14:textId="77777777" w:rsidR="00965FBC" w:rsidRPr="00965FBC" w:rsidRDefault="00965FBC" w:rsidP="00965FBC">
      <w:pPr>
        <w:widowControl w:val="0"/>
        <w:autoSpaceDE w:val="0"/>
        <w:autoSpaceDN w:val="0"/>
        <w:spacing w:before="5" w:after="0" w:line="240" w:lineRule="auto"/>
        <w:jc w:val="left"/>
        <w:rPr>
          <w:rFonts w:eastAsia="Times New Roman" w:cs="Times New Roman"/>
          <w:kern w:val="0"/>
          <w:szCs w:val="24"/>
          <w14:ligatures w14:val="none"/>
        </w:rPr>
      </w:pPr>
    </w:p>
    <w:p w14:paraId="65840AE3" w14:textId="77777777" w:rsidR="004C5D25" w:rsidRDefault="004C5D25"/>
    <w:sectPr w:rsidR="004C5D25" w:rsidSect="00D050CD">
      <w:footerReference w:type="default" r:id="rId8"/>
      <w:pgSz w:w="16840" w:h="11907" w:orient="landscape" w:code="9"/>
      <w:pgMar w:top="839" w:right="743" w:bottom="743" w:left="743" w:header="567" w:footer="5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3FE46" w14:textId="77777777" w:rsidR="00FC63B6" w:rsidRDefault="00FC63B6">
      <w:pPr>
        <w:spacing w:after="0" w:line="240" w:lineRule="auto"/>
      </w:pPr>
      <w:r>
        <w:separator/>
      </w:r>
    </w:p>
  </w:endnote>
  <w:endnote w:type="continuationSeparator" w:id="0">
    <w:p w14:paraId="09E1F9C3" w14:textId="77777777" w:rsidR="00FC63B6" w:rsidRDefault="00FC6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BCB2A" w14:textId="77777777" w:rsidR="00B503E5" w:rsidRDefault="00902A52">
    <w:pPr>
      <w:pStyle w:val="BodyText"/>
      <w:spacing w:line="14" w:lineRule="auto"/>
      <w:rPr>
        <w:b/>
        <w:sz w:val="20"/>
      </w:rPr>
    </w:pPr>
    <w:r>
      <w:rPr>
        <w:noProof/>
      </w:rPr>
      <mc:AlternateContent>
        <mc:Choice Requires="wps">
          <w:drawing>
            <wp:anchor distT="0" distB="0" distL="114300" distR="114300" simplePos="0" relativeHeight="251659264" behindDoc="1" locked="0" layoutInCell="1" allowOverlap="1" wp14:anchorId="18005011" wp14:editId="5F0C4802">
              <wp:simplePos x="0" y="0"/>
              <wp:positionH relativeFrom="page">
                <wp:posOffset>5232400</wp:posOffset>
              </wp:positionH>
              <wp:positionV relativeFrom="page">
                <wp:posOffset>7016750</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49E8A" w14:textId="77777777" w:rsidR="00B503E5" w:rsidRDefault="00B503E5">
                          <w:pPr>
                            <w:spacing w:before="10"/>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05011" id="_x0000_t202" coordsize="21600,21600" o:spt="202" path="m,l,21600r21600,l21600,xe">
              <v:stroke joinstyle="miter"/>
              <v:path gradientshapeok="t" o:connecttype="rect"/>
            </v:shapetype>
            <v:shape id="Text Box 1" o:spid="_x0000_s1026" type="#_x0000_t202" style="position:absolute;left:0;text-align:left;margin-left:412pt;margin-top:552.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" filled="f" stroked="f">
              <v:textbox inset="0,0,0,0">
                <w:txbxContent>
                  <w:p w14:paraId="32549E8A" w14:textId="77777777" w:rsidR="00B503E5" w:rsidRDefault="00B503E5">
                    <w:pPr>
                      <w:spacing w:before="10"/>
                      <w:ind w:left="6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56A25" w14:textId="77777777" w:rsidR="00FC63B6" w:rsidRDefault="00FC63B6">
      <w:pPr>
        <w:spacing w:after="0" w:line="240" w:lineRule="auto"/>
      </w:pPr>
      <w:r>
        <w:separator/>
      </w:r>
    </w:p>
  </w:footnote>
  <w:footnote w:type="continuationSeparator" w:id="0">
    <w:p w14:paraId="35ED052A" w14:textId="77777777" w:rsidR="00FC63B6" w:rsidRDefault="00FC63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0B9210"/>
    <w:multiLevelType w:val="hybridMultilevel"/>
    <w:tmpl w:val="C570F09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13703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BC"/>
    <w:rsid w:val="00004379"/>
    <w:rsid w:val="000659EE"/>
    <w:rsid w:val="000C1E68"/>
    <w:rsid w:val="000E675D"/>
    <w:rsid w:val="001135CF"/>
    <w:rsid w:val="00157610"/>
    <w:rsid w:val="001629AE"/>
    <w:rsid w:val="0018738F"/>
    <w:rsid w:val="00223F45"/>
    <w:rsid w:val="002323DE"/>
    <w:rsid w:val="002C1FE5"/>
    <w:rsid w:val="00301CCD"/>
    <w:rsid w:val="00311915"/>
    <w:rsid w:val="003205BA"/>
    <w:rsid w:val="0049150A"/>
    <w:rsid w:val="004A1238"/>
    <w:rsid w:val="004A5E67"/>
    <w:rsid w:val="004C5D25"/>
    <w:rsid w:val="005038C0"/>
    <w:rsid w:val="006409F5"/>
    <w:rsid w:val="0067205E"/>
    <w:rsid w:val="00687845"/>
    <w:rsid w:val="006C0F69"/>
    <w:rsid w:val="00711C03"/>
    <w:rsid w:val="0072370C"/>
    <w:rsid w:val="00807CED"/>
    <w:rsid w:val="0082734B"/>
    <w:rsid w:val="008F1ACE"/>
    <w:rsid w:val="00902A52"/>
    <w:rsid w:val="00961389"/>
    <w:rsid w:val="00965FBC"/>
    <w:rsid w:val="009A729E"/>
    <w:rsid w:val="00A13A95"/>
    <w:rsid w:val="00A317EF"/>
    <w:rsid w:val="00A634A8"/>
    <w:rsid w:val="00AB776D"/>
    <w:rsid w:val="00B503E5"/>
    <w:rsid w:val="00B84EC6"/>
    <w:rsid w:val="00C13D45"/>
    <w:rsid w:val="00C76CDD"/>
    <w:rsid w:val="00C92530"/>
    <w:rsid w:val="00CC7057"/>
    <w:rsid w:val="00D050CD"/>
    <w:rsid w:val="00D43C62"/>
    <w:rsid w:val="00D463BF"/>
    <w:rsid w:val="00E00FAE"/>
    <w:rsid w:val="00E649C4"/>
    <w:rsid w:val="00E96558"/>
    <w:rsid w:val="00E9749D"/>
    <w:rsid w:val="00F878AB"/>
    <w:rsid w:val="00FC6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C9C26"/>
  <w15:chartTrackingRefBased/>
  <w15:docId w15:val="{06BB9C74-6F6B-4A87-877D-DA9994E0C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76D"/>
    <w:pPr>
      <w:jc w:val="both"/>
    </w:pPr>
    <w:rPr>
      <w:rFonts w:ascii="Times New Roman" w:hAnsi="Times New Roman"/>
      <w:sz w:val="24"/>
    </w:rPr>
  </w:style>
  <w:style w:type="paragraph" w:styleId="Heading1">
    <w:name w:val="heading 1"/>
    <w:basedOn w:val="Normal"/>
    <w:next w:val="Normal"/>
    <w:link w:val="Heading1Char"/>
    <w:uiPriority w:val="9"/>
    <w:qFormat/>
    <w:rsid w:val="00965F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5F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5FB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5FB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65FB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65FB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65FB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65FB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65FB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F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5F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5F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5FBC"/>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965FBC"/>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965FBC"/>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965FBC"/>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965FBC"/>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965FBC"/>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965F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F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FB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F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FBC"/>
    <w:pPr>
      <w:spacing w:before="160"/>
      <w:jc w:val="center"/>
    </w:pPr>
    <w:rPr>
      <w:i/>
      <w:iCs/>
      <w:color w:val="404040" w:themeColor="text1" w:themeTint="BF"/>
    </w:rPr>
  </w:style>
  <w:style w:type="character" w:customStyle="1" w:styleId="QuoteChar">
    <w:name w:val="Quote Char"/>
    <w:basedOn w:val="DefaultParagraphFont"/>
    <w:link w:val="Quote"/>
    <w:uiPriority w:val="29"/>
    <w:rsid w:val="00965FBC"/>
    <w:rPr>
      <w:rFonts w:ascii="Times New Roman" w:hAnsi="Times New Roman"/>
      <w:i/>
      <w:iCs/>
      <w:color w:val="404040" w:themeColor="text1" w:themeTint="BF"/>
      <w:sz w:val="24"/>
    </w:rPr>
  </w:style>
  <w:style w:type="paragraph" w:styleId="ListParagraph">
    <w:name w:val="List Paragraph"/>
    <w:basedOn w:val="Normal"/>
    <w:uiPriority w:val="34"/>
    <w:qFormat/>
    <w:rsid w:val="00965FBC"/>
    <w:pPr>
      <w:ind w:left="720"/>
      <w:contextualSpacing/>
    </w:pPr>
  </w:style>
  <w:style w:type="character" w:styleId="IntenseEmphasis">
    <w:name w:val="Intense Emphasis"/>
    <w:basedOn w:val="DefaultParagraphFont"/>
    <w:uiPriority w:val="21"/>
    <w:qFormat/>
    <w:rsid w:val="00965FBC"/>
    <w:rPr>
      <w:i/>
      <w:iCs/>
      <w:color w:val="2F5496" w:themeColor="accent1" w:themeShade="BF"/>
    </w:rPr>
  </w:style>
  <w:style w:type="paragraph" w:styleId="IntenseQuote">
    <w:name w:val="Intense Quote"/>
    <w:basedOn w:val="Normal"/>
    <w:next w:val="Normal"/>
    <w:link w:val="IntenseQuoteChar"/>
    <w:uiPriority w:val="30"/>
    <w:qFormat/>
    <w:rsid w:val="00965F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5FBC"/>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965FBC"/>
    <w:rPr>
      <w:b/>
      <w:bCs/>
      <w:smallCaps/>
      <w:color w:val="2F5496" w:themeColor="accent1" w:themeShade="BF"/>
      <w:spacing w:val="5"/>
    </w:rPr>
  </w:style>
  <w:style w:type="paragraph" w:styleId="BodyText">
    <w:name w:val="Body Text"/>
    <w:basedOn w:val="Normal"/>
    <w:link w:val="BodyTextChar"/>
    <w:uiPriority w:val="99"/>
    <w:semiHidden/>
    <w:unhideWhenUsed/>
    <w:rsid w:val="00965FBC"/>
    <w:pPr>
      <w:spacing w:after="120"/>
    </w:pPr>
  </w:style>
  <w:style w:type="character" w:customStyle="1" w:styleId="BodyTextChar">
    <w:name w:val="Body Text Char"/>
    <w:basedOn w:val="DefaultParagraphFont"/>
    <w:link w:val="BodyText"/>
    <w:uiPriority w:val="99"/>
    <w:semiHidden/>
    <w:rsid w:val="00965FBC"/>
    <w:rPr>
      <w:rFonts w:ascii="Times New Roman" w:hAnsi="Times New Roman"/>
      <w:sz w:val="24"/>
    </w:rPr>
  </w:style>
  <w:style w:type="paragraph" w:customStyle="1" w:styleId="TableParagraph">
    <w:name w:val="Table Paragraph"/>
    <w:basedOn w:val="Normal"/>
    <w:uiPriority w:val="1"/>
    <w:qFormat/>
    <w:rsid w:val="00301CCD"/>
    <w:pPr>
      <w:widowControl w:val="0"/>
      <w:autoSpaceDE w:val="0"/>
      <w:autoSpaceDN w:val="0"/>
      <w:spacing w:after="0" w:line="240" w:lineRule="auto"/>
      <w:jc w:val="left"/>
    </w:pPr>
    <w:rPr>
      <w:rFonts w:eastAsia="Times New Roman"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EC9FB-6AF5-4917-A9B0-F83618ACF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Edvin Bojadžić</dc:creator>
  <cp:keywords/>
  <dc:description/>
  <cp:lastModifiedBy>Bratislava Pavićević</cp:lastModifiedBy>
  <cp:revision>2</cp:revision>
  <dcterms:created xsi:type="dcterms:W3CDTF">2026-04-09T11:37:00Z</dcterms:created>
  <dcterms:modified xsi:type="dcterms:W3CDTF">2026-04-09T11:37:00Z</dcterms:modified>
</cp:coreProperties>
</file>